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70" w:rsidRDefault="004E5B70" w:rsidP="00AD2B1C">
      <w:pPr>
        <w:pStyle w:val="p0"/>
        <w:spacing w:after="240" w:line="560" w:lineRule="exact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深圳国泰安教育技术有限公司</w:t>
      </w:r>
    </w:p>
    <w:p w:rsidR="00AD2B1C" w:rsidRDefault="009A5E7E" w:rsidP="004E5B70">
      <w:pPr>
        <w:pStyle w:val="p0"/>
        <w:spacing w:after="240" w:line="560" w:lineRule="exact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教育部产学合作协同育人</w:t>
      </w:r>
      <w:r w:rsidR="00E00387">
        <w:rPr>
          <w:rFonts w:ascii="华文仿宋" w:eastAsia="华文仿宋" w:hAnsi="华文仿宋" w:hint="eastAsia"/>
          <w:b/>
          <w:sz w:val="36"/>
          <w:szCs w:val="36"/>
        </w:rPr>
        <w:t>（</w:t>
      </w:r>
      <w:r w:rsidR="00E00387" w:rsidRPr="00AD2B1C">
        <w:rPr>
          <w:rFonts w:ascii="华文仿宋" w:eastAsia="华文仿宋" w:hAnsi="华文仿宋" w:hint="eastAsia"/>
          <w:b/>
          <w:sz w:val="36"/>
          <w:szCs w:val="36"/>
        </w:rPr>
        <w:t>2018年</w:t>
      </w:r>
      <w:r w:rsidR="00E00387">
        <w:rPr>
          <w:rFonts w:ascii="华文仿宋" w:eastAsia="华文仿宋" w:hAnsi="华文仿宋" w:hint="eastAsia"/>
          <w:b/>
          <w:sz w:val="36"/>
          <w:szCs w:val="36"/>
        </w:rPr>
        <w:t>第二批）</w:t>
      </w:r>
      <w:r w:rsidR="00AD2B1C">
        <w:rPr>
          <w:rFonts w:ascii="华文仿宋" w:eastAsia="华文仿宋" w:hAnsi="华文仿宋" w:hint="eastAsia"/>
          <w:b/>
          <w:sz w:val="36"/>
          <w:szCs w:val="36"/>
        </w:rPr>
        <w:t>项目简介</w:t>
      </w:r>
    </w:p>
    <w:tbl>
      <w:tblPr>
        <w:tblStyle w:val="a8"/>
        <w:tblW w:w="15632" w:type="dxa"/>
        <w:jc w:val="center"/>
        <w:tblLayout w:type="fixed"/>
        <w:tblLook w:val="04A0" w:firstRow="1" w:lastRow="0" w:firstColumn="1" w:lastColumn="0" w:noHBand="0" w:noVBand="1"/>
      </w:tblPr>
      <w:tblGrid>
        <w:gridCol w:w="1098"/>
        <w:gridCol w:w="1134"/>
        <w:gridCol w:w="1276"/>
        <w:gridCol w:w="7267"/>
        <w:gridCol w:w="788"/>
        <w:gridCol w:w="1110"/>
        <w:gridCol w:w="1466"/>
        <w:gridCol w:w="1493"/>
      </w:tblGrid>
      <w:tr w:rsidR="009A5E7E" w:rsidRPr="00D50C8B" w:rsidTr="00637D00">
        <w:trPr>
          <w:trHeight w:val="955"/>
          <w:tblHeader/>
          <w:jc w:val="center"/>
        </w:trPr>
        <w:tc>
          <w:tcPr>
            <w:tcW w:w="1098" w:type="dxa"/>
            <w:vAlign w:val="center"/>
          </w:tcPr>
          <w:p w:rsidR="009A5E7E" w:rsidRPr="00D50C8B" w:rsidRDefault="009A5E7E" w:rsidP="00E25856">
            <w:pPr>
              <w:pStyle w:val="p0"/>
              <w:jc w:val="center"/>
              <w:rPr>
                <w:rFonts w:ascii="华文仿宋" w:eastAsia="华文仿宋" w:hAnsi="华文仿宋"/>
                <w:b/>
              </w:rPr>
            </w:pPr>
            <w:r w:rsidRPr="00D50C8B">
              <w:rPr>
                <w:rFonts w:ascii="华文仿宋" w:eastAsia="华文仿宋" w:hAnsi="华文仿宋" w:hint="eastAsia"/>
                <w:b/>
              </w:rPr>
              <w:t>企业</w:t>
            </w:r>
          </w:p>
          <w:p w:rsidR="009A5E7E" w:rsidRPr="00D50C8B" w:rsidRDefault="009A5E7E" w:rsidP="00E25856">
            <w:pPr>
              <w:pStyle w:val="p0"/>
              <w:jc w:val="center"/>
              <w:rPr>
                <w:rFonts w:ascii="华文仿宋" w:eastAsia="华文仿宋" w:hAnsi="华文仿宋"/>
                <w:b/>
              </w:rPr>
            </w:pPr>
            <w:r w:rsidRPr="00D50C8B">
              <w:rPr>
                <w:rFonts w:ascii="华文仿宋" w:eastAsia="华文仿宋" w:hAnsi="华文仿宋" w:hint="eastAsia"/>
                <w:b/>
              </w:rPr>
              <w:t>名称</w:t>
            </w:r>
          </w:p>
        </w:tc>
        <w:tc>
          <w:tcPr>
            <w:tcW w:w="2410" w:type="dxa"/>
            <w:gridSpan w:val="2"/>
            <w:vAlign w:val="center"/>
          </w:tcPr>
          <w:p w:rsidR="009A5E7E" w:rsidRPr="00D50C8B" w:rsidRDefault="009A5E7E" w:rsidP="00E25856">
            <w:pPr>
              <w:pStyle w:val="p0"/>
              <w:jc w:val="center"/>
              <w:rPr>
                <w:rFonts w:ascii="华文仿宋" w:eastAsia="华文仿宋" w:hAnsi="华文仿宋"/>
                <w:b/>
              </w:rPr>
            </w:pPr>
            <w:r w:rsidRPr="00D50C8B">
              <w:rPr>
                <w:rFonts w:ascii="华文仿宋" w:eastAsia="华文仿宋" w:hAnsi="华文仿宋" w:hint="eastAsia"/>
                <w:b/>
              </w:rPr>
              <w:t>项目</w:t>
            </w:r>
            <w:r w:rsidRPr="00D50C8B">
              <w:rPr>
                <w:rFonts w:ascii="华文仿宋" w:eastAsia="华文仿宋" w:hAnsi="华文仿宋"/>
                <w:b/>
              </w:rPr>
              <w:t>类型</w:t>
            </w:r>
          </w:p>
        </w:tc>
        <w:tc>
          <w:tcPr>
            <w:tcW w:w="7267" w:type="dxa"/>
            <w:vAlign w:val="center"/>
          </w:tcPr>
          <w:p w:rsidR="009A5E7E" w:rsidRPr="00D50C8B" w:rsidRDefault="009A5E7E" w:rsidP="00E25856">
            <w:pPr>
              <w:pStyle w:val="p0"/>
              <w:jc w:val="center"/>
              <w:rPr>
                <w:rFonts w:ascii="华文仿宋" w:eastAsia="华文仿宋" w:hAnsi="华文仿宋"/>
                <w:b/>
              </w:rPr>
            </w:pPr>
            <w:r w:rsidRPr="00D50C8B">
              <w:rPr>
                <w:rFonts w:ascii="华文仿宋" w:eastAsia="华文仿宋" w:hAnsi="华文仿宋" w:hint="eastAsia"/>
                <w:b/>
              </w:rPr>
              <w:t>项目</w:t>
            </w:r>
            <w:r w:rsidRPr="00D50C8B">
              <w:rPr>
                <w:rFonts w:ascii="华文仿宋" w:eastAsia="华文仿宋" w:hAnsi="华文仿宋"/>
                <w:b/>
              </w:rPr>
              <w:t>简介</w:t>
            </w:r>
          </w:p>
          <w:p w:rsidR="009A5E7E" w:rsidRPr="00D50C8B" w:rsidRDefault="009A5E7E" w:rsidP="00E25856">
            <w:pPr>
              <w:pStyle w:val="p0"/>
              <w:jc w:val="center"/>
              <w:rPr>
                <w:rFonts w:ascii="华文仿宋" w:eastAsia="华文仿宋" w:hAnsi="华文仿宋"/>
                <w:b/>
              </w:rPr>
            </w:pPr>
            <w:r w:rsidRPr="00D50C8B">
              <w:rPr>
                <w:rFonts w:ascii="华文仿宋" w:eastAsia="华文仿宋" w:hAnsi="华文仿宋" w:hint="eastAsia"/>
                <w:b/>
              </w:rPr>
              <w:t>（建议</w:t>
            </w:r>
            <w:r w:rsidRPr="00D50C8B">
              <w:rPr>
                <w:rFonts w:ascii="华文仿宋" w:eastAsia="华文仿宋" w:hAnsi="华文仿宋"/>
                <w:b/>
              </w:rPr>
              <w:t>包含</w:t>
            </w:r>
            <w:r w:rsidRPr="00D50C8B">
              <w:rPr>
                <w:rFonts w:ascii="华文仿宋" w:eastAsia="华文仿宋" w:hAnsi="华文仿宋" w:hint="eastAsia"/>
                <w:b/>
              </w:rPr>
              <w:t>面向</w:t>
            </w:r>
            <w:r w:rsidRPr="00D50C8B">
              <w:rPr>
                <w:rFonts w:ascii="华文仿宋" w:eastAsia="华文仿宋" w:hAnsi="华文仿宋"/>
                <w:b/>
              </w:rPr>
              <w:t>专业及对象</w:t>
            </w:r>
            <w:r w:rsidRPr="00D50C8B">
              <w:rPr>
                <w:rFonts w:ascii="华文仿宋" w:eastAsia="华文仿宋" w:hAnsi="华文仿宋" w:hint="eastAsia"/>
                <w:b/>
              </w:rPr>
              <w:t>、建设目标和</w:t>
            </w:r>
            <w:r w:rsidRPr="00D50C8B">
              <w:rPr>
                <w:rFonts w:ascii="华文仿宋" w:eastAsia="华文仿宋" w:hAnsi="华文仿宋"/>
                <w:b/>
              </w:rPr>
              <w:t>内容</w:t>
            </w:r>
            <w:r w:rsidRPr="00D50C8B">
              <w:rPr>
                <w:rFonts w:ascii="华文仿宋" w:eastAsia="华文仿宋" w:hAnsi="华文仿宋" w:hint="eastAsia"/>
                <w:b/>
              </w:rPr>
              <w:t>等，</w:t>
            </w:r>
          </w:p>
          <w:p w:rsidR="009A5E7E" w:rsidRPr="00D50C8B" w:rsidRDefault="009A5E7E" w:rsidP="00E25856">
            <w:pPr>
              <w:pStyle w:val="p0"/>
              <w:jc w:val="center"/>
              <w:rPr>
                <w:rFonts w:ascii="华文仿宋" w:eastAsia="华文仿宋" w:hAnsi="华文仿宋"/>
                <w:b/>
              </w:rPr>
            </w:pPr>
            <w:r w:rsidRPr="00D50C8B">
              <w:rPr>
                <w:rFonts w:ascii="华文仿宋" w:eastAsia="华文仿宋" w:hAnsi="华文仿宋"/>
                <w:b/>
              </w:rPr>
              <w:t>不超过</w:t>
            </w:r>
            <w:r w:rsidRPr="00D50C8B">
              <w:rPr>
                <w:rFonts w:ascii="华文仿宋" w:eastAsia="华文仿宋" w:hAnsi="华文仿宋" w:hint="eastAsia"/>
                <w:b/>
              </w:rPr>
              <w:t>200字）</w:t>
            </w:r>
          </w:p>
        </w:tc>
        <w:tc>
          <w:tcPr>
            <w:tcW w:w="788" w:type="dxa"/>
            <w:vAlign w:val="center"/>
          </w:tcPr>
          <w:p w:rsidR="009A5E7E" w:rsidRPr="00D50C8B" w:rsidRDefault="009A5E7E" w:rsidP="00E25856">
            <w:pPr>
              <w:pStyle w:val="p0"/>
              <w:jc w:val="center"/>
              <w:rPr>
                <w:rFonts w:ascii="华文仿宋" w:eastAsia="华文仿宋" w:hAnsi="华文仿宋"/>
                <w:b/>
              </w:rPr>
            </w:pPr>
            <w:r w:rsidRPr="00D50C8B">
              <w:rPr>
                <w:rFonts w:ascii="华文仿宋" w:eastAsia="华文仿宋" w:hAnsi="华文仿宋"/>
                <w:b/>
              </w:rPr>
              <w:t>项目数</w:t>
            </w:r>
          </w:p>
        </w:tc>
        <w:tc>
          <w:tcPr>
            <w:tcW w:w="1110" w:type="dxa"/>
            <w:vAlign w:val="center"/>
          </w:tcPr>
          <w:p w:rsidR="00F2662C" w:rsidRPr="00D50C8B" w:rsidRDefault="009A5E7E" w:rsidP="00E25856">
            <w:pPr>
              <w:pStyle w:val="p0"/>
              <w:jc w:val="center"/>
              <w:rPr>
                <w:rFonts w:ascii="华文仿宋" w:eastAsia="华文仿宋" w:hAnsi="华文仿宋"/>
                <w:b/>
              </w:rPr>
            </w:pPr>
            <w:r w:rsidRPr="00D50C8B">
              <w:rPr>
                <w:rFonts w:ascii="华文仿宋" w:eastAsia="华文仿宋" w:hAnsi="华文仿宋" w:hint="eastAsia"/>
                <w:b/>
              </w:rPr>
              <w:t>资助</w:t>
            </w:r>
          </w:p>
          <w:p w:rsidR="009A5E7E" w:rsidRPr="00D50C8B" w:rsidRDefault="009A5E7E" w:rsidP="00E25856">
            <w:pPr>
              <w:pStyle w:val="p0"/>
              <w:jc w:val="center"/>
              <w:rPr>
                <w:rFonts w:ascii="华文仿宋" w:eastAsia="华文仿宋" w:hAnsi="华文仿宋"/>
                <w:b/>
              </w:rPr>
            </w:pPr>
            <w:r w:rsidRPr="00D50C8B">
              <w:rPr>
                <w:rFonts w:ascii="华文仿宋" w:eastAsia="华文仿宋" w:hAnsi="华文仿宋" w:hint="eastAsia"/>
                <w:b/>
              </w:rPr>
              <w:t>总</w:t>
            </w:r>
            <w:r w:rsidRPr="00D50C8B">
              <w:rPr>
                <w:rFonts w:ascii="华文仿宋" w:eastAsia="华文仿宋" w:hAnsi="华文仿宋"/>
                <w:b/>
              </w:rPr>
              <w:t>金额</w:t>
            </w:r>
          </w:p>
          <w:p w:rsidR="009A5E7E" w:rsidRPr="00D50C8B" w:rsidRDefault="009A5E7E" w:rsidP="00E25856">
            <w:pPr>
              <w:pStyle w:val="p0"/>
              <w:jc w:val="center"/>
              <w:rPr>
                <w:rFonts w:ascii="华文仿宋" w:eastAsia="华文仿宋" w:hAnsi="华文仿宋"/>
                <w:b/>
              </w:rPr>
            </w:pPr>
            <w:r w:rsidRPr="00D50C8B">
              <w:rPr>
                <w:rFonts w:ascii="华文仿宋" w:eastAsia="华文仿宋" w:hAnsi="华文仿宋"/>
                <w:b/>
              </w:rPr>
              <w:t>（</w:t>
            </w:r>
            <w:r w:rsidRPr="00D50C8B">
              <w:rPr>
                <w:rFonts w:ascii="华文仿宋" w:eastAsia="华文仿宋" w:hAnsi="华文仿宋" w:hint="eastAsia"/>
                <w:b/>
              </w:rPr>
              <w:t>万元</w:t>
            </w:r>
            <w:r w:rsidRPr="00D50C8B">
              <w:rPr>
                <w:rFonts w:ascii="华文仿宋" w:eastAsia="华文仿宋" w:hAnsi="华文仿宋"/>
                <w:b/>
              </w:rPr>
              <w:t>）</w:t>
            </w:r>
          </w:p>
        </w:tc>
        <w:tc>
          <w:tcPr>
            <w:tcW w:w="1466" w:type="dxa"/>
            <w:vAlign w:val="center"/>
          </w:tcPr>
          <w:p w:rsidR="009A5E7E" w:rsidRPr="00D50C8B" w:rsidRDefault="009A5E7E" w:rsidP="00E25856">
            <w:pPr>
              <w:pStyle w:val="p0"/>
              <w:jc w:val="center"/>
              <w:rPr>
                <w:rFonts w:ascii="华文仿宋" w:eastAsia="华文仿宋" w:hAnsi="华文仿宋"/>
                <w:b/>
              </w:rPr>
            </w:pPr>
            <w:r w:rsidRPr="00D50C8B">
              <w:rPr>
                <w:rFonts w:ascii="华文仿宋" w:eastAsia="华文仿宋" w:hAnsi="华文仿宋" w:hint="eastAsia"/>
                <w:b/>
              </w:rPr>
              <w:t>云平台</w:t>
            </w:r>
            <w:r w:rsidRPr="00D50C8B">
              <w:rPr>
                <w:rFonts w:ascii="华文仿宋" w:eastAsia="华文仿宋" w:hAnsi="华文仿宋"/>
                <w:b/>
              </w:rPr>
              <w:t>、</w:t>
            </w:r>
          </w:p>
          <w:p w:rsidR="009A5E7E" w:rsidRPr="00D50C8B" w:rsidRDefault="009A5E7E" w:rsidP="00E25856">
            <w:pPr>
              <w:pStyle w:val="p0"/>
              <w:jc w:val="center"/>
              <w:rPr>
                <w:rFonts w:ascii="华文仿宋" w:eastAsia="华文仿宋" w:hAnsi="华文仿宋"/>
                <w:b/>
              </w:rPr>
            </w:pPr>
            <w:r w:rsidRPr="00D50C8B">
              <w:rPr>
                <w:rFonts w:ascii="华文仿宋" w:eastAsia="华文仿宋" w:hAnsi="华文仿宋"/>
                <w:b/>
              </w:rPr>
              <w:t>软硬件设备</w:t>
            </w:r>
          </w:p>
          <w:p w:rsidR="009A5E7E" w:rsidRPr="00D50C8B" w:rsidRDefault="009A5E7E" w:rsidP="00E25856">
            <w:pPr>
              <w:pStyle w:val="p0"/>
              <w:jc w:val="center"/>
              <w:rPr>
                <w:rFonts w:ascii="华文仿宋" w:eastAsia="华文仿宋" w:hAnsi="华文仿宋"/>
                <w:b/>
              </w:rPr>
            </w:pPr>
            <w:r w:rsidRPr="00D50C8B">
              <w:rPr>
                <w:rFonts w:ascii="华文仿宋" w:eastAsia="华文仿宋" w:hAnsi="华文仿宋"/>
                <w:b/>
              </w:rPr>
              <w:t>价值（</w:t>
            </w:r>
            <w:r w:rsidRPr="00D50C8B">
              <w:rPr>
                <w:rFonts w:ascii="华文仿宋" w:eastAsia="华文仿宋" w:hAnsi="华文仿宋" w:hint="eastAsia"/>
                <w:b/>
              </w:rPr>
              <w:t>万元</w:t>
            </w:r>
            <w:r w:rsidRPr="00D50C8B">
              <w:rPr>
                <w:rFonts w:ascii="华文仿宋" w:eastAsia="华文仿宋" w:hAnsi="华文仿宋"/>
                <w:b/>
              </w:rPr>
              <w:t>）</w:t>
            </w:r>
          </w:p>
        </w:tc>
        <w:tc>
          <w:tcPr>
            <w:tcW w:w="1493" w:type="dxa"/>
            <w:vAlign w:val="center"/>
          </w:tcPr>
          <w:p w:rsidR="009A5E7E" w:rsidRPr="00D50C8B" w:rsidRDefault="009A5E7E" w:rsidP="00E25856">
            <w:pPr>
              <w:pStyle w:val="p0"/>
              <w:jc w:val="center"/>
              <w:rPr>
                <w:rFonts w:ascii="华文仿宋" w:eastAsia="华文仿宋" w:hAnsi="华文仿宋"/>
                <w:b/>
              </w:rPr>
            </w:pPr>
            <w:r w:rsidRPr="00D50C8B">
              <w:rPr>
                <w:rFonts w:ascii="华文仿宋" w:eastAsia="华文仿宋" w:hAnsi="华文仿宋" w:hint="eastAsia"/>
                <w:b/>
              </w:rPr>
              <w:t>指南</w:t>
            </w:r>
            <w:r w:rsidRPr="00D50C8B">
              <w:rPr>
                <w:rFonts w:ascii="华文仿宋" w:eastAsia="华文仿宋" w:hAnsi="华文仿宋"/>
                <w:b/>
              </w:rPr>
              <w:t>发布</w:t>
            </w:r>
            <w:r w:rsidRPr="00D50C8B">
              <w:rPr>
                <w:rFonts w:ascii="华文仿宋" w:eastAsia="华文仿宋" w:hAnsi="华文仿宋" w:hint="eastAsia"/>
                <w:b/>
              </w:rPr>
              <w:t>网址</w:t>
            </w:r>
            <w:r w:rsidRPr="00D50C8B">
              <w:rPr>
                <w:rFonts w:ascii="华文仿宋" w:eastAsia="华文仿宋" w:hAnsi="华文仿宋"/>
                <w:b/>
              </w:rPr>
              <w:br/>
            </w:r>
            <w:r w:rsidRPr="00D50C8B">
              <w:rPr>
                <w:rFonts w:ascii="华文仿宋" w:eastAsia="华文仿宋" w:hAnsi="华文仿宋" w:hint="eastAsia"/>
                <w:b/>
              </w:rPr>
              <w:t>（公司</w:t>
            </w:r>
            <w:r w:rsidRPr="00D50C8B">
              <w:rPr>
                <w:rFonts w:ascii="华文仿宋" w:eastAsia="华文仿宋" w:hAnsi="华文仿宋"/>
                <w:b/>
              </w:rPr>
              <w:t>网站</w:t>
            </w:r>
            <w:r w:rsidRPr="00D50C8B">
              <w:rPr>
                <w:rFonts w:ascii="华文仿宋" w:eastAsia="华文仿宋" w:hAnsi="华文仿宋" w:hint="eastAsia"/>
                <w:b/>
              </w:rPr>
              <w:t>）</w:t>
            </w:r>
          </w:p>
        </w:tc>
      </w:tr>
      <w:tr w:rsidR="00931EE1" w:rsidRPr="00D50C8B" w:rsidTr="007404E6">
        <w:trPr>
          <w:trHeight w:val="2386"/>
          <w:jc w:val="center"/>
        </w:trPr>
        <w:tc>
          <w:tcPr>
            <w:tcW w:w="1098" w:type="dxa"/>
            <w:vMerge w:val="restart"/>
            <w:vAlign w:val="center"/>
          </w:tcPr>
          <w:p w:rsidR="00931EE1" w:rsidRPr="00D50C8B" w:rsidRDefault="00931EE1" w:rsidP="00E25856">
            <w:pPr>
              <w:pStyle w:val="p0"/>
              <w:jc w:val="center"/>
              <w:rPr>
                <w:rFonts w:ascii="华文仿宋" w:eastAsia="华文仿宋" w:hAnsi="华文仿宋"/>
              </w:rPr>
            </w:pPr>
            <w:r w:rsidRPr="00D50C8B">
              <w:rPr>
                <w:rFonts w:ascii="华文仿宋" w:eastAsia="华文仿宋" w:hAnsi="华文仿宋" w:hint="eastAsia"/>
              </w:rPr>
              <w:t>深圳</w:t>
            </w:r>
          </w:p>
          <w:p w:rsidR="00931EE1" w:rsidRPr="00D50C8B" w:rsidRDefault="00931EE1" w:rsidP="00E25856">
            <w:pPr>
              <w:pStyle w:val="p0"/>
              <w:jc w:val="center"/>
              <w:rPr>
                <w:rFonts w:ascii="华文仿宋" w:eastAsia="华文仿宋" w:hAnsi="华文仿宋"/>
              </w:rPr>
            </w:pPr>
            <w:r w:rsidRPr="00D50C8B">
              <w:rPr>
                <w:rFonts w:ascii="华文仿宋" w:eastAsia="华文仿宋" w:hAnsi="华文仿宋" w:hint="eastAsia"/>
              </w:rPr>
              <w:t>国泰安</w:t>
            </w:r>
          </w:p>
          <w:p w:rsidR="00931EE1" w:rsidRPr="00D50C8B" w:rsidRDefault="00931EE1" w:rsidP="003D4157">
            <w:pPr>
              <w:pStyle w:val="p0"/>
              <w:jc w:val="center"/>
              <w:rPr>
                <w:rFonts w:ascii="华文仿宋" w:eastAsia="华文仿宋" w:hAnsi="华文仿宋"/>
              </w:rPr>
            </w:pPr>
            <w:r w:rsidRPr="00D50C8B">
              <w:rPr>
                <w:rFonts w:ascii="华文仿宋" w:eastAsia="华文仿宋" w:hAnsi="华文仿宋" w:hint="eastAsia"/>
              </w:rPr>
              <w:t>教育技术</w:t>
            </w:r>
            <w:bookmarkStart w:id="0" w:name="_GoBack"/>
            <w:bookmarkEnd w:id="0"/>
            <w:r w:rsidRPr="00D50C8B">
              <w:rPr>
                <w:rFonts w:ascii="华文仿宋" w:eastAsia="华文仿宋" w:hAnsi="华文仿宋" w:hint="eastAsia"/>
              </w:rPr>
              <w:t>有限公司</w:t>
            </w:r>
          </w:p>
        </w:tc>
        <w:tc>
          <w:tcPr>
            <w:tcW w:w="1134" w:type="dxa"/>
            <w:vMerge w:val="restart"/>
            <w:vAlign w:val="center"/>
          </w:tcPr>
          <w:p w:rsidR="00931EE1" w:rsidRPr="00D50C8B" w:rsidRDefault="00931EE1" w:rsidP="00E25856">
            <w:pPr>
              <w:widowControl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D50C8B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教学内容和课程</w:t>
            </w:r>
          </w:p>
          <w:p w:rsidR="00931EE1" w:rsidRPr="00D50C8B" w:rsidRDefault="00931EE1" w:rsidP="00E25856">
            <w:pPr>
              <w:widowControl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D50C8B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体系改革</w:t>
            </w:r>
          </w:p>
        </w:tc>
        <w:tc>
          <w:tcPr>
            <w:tcW w:w="1276" w:type="dxa"/>
            <w:vAlign w:val="center"/>
          </w:tcPr>
          <w:p w:rsidR="00931EE1" w:rsidRPr="007404E6" w:rsidRDefault="00334D93" w:rsidP="00F2662C">
            <w:pPr>
              <w:widowControl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7404E6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财经方向</w:t>
            </w:r>
          </w:p>
          <w:p w:rsidR="00931EE1" w:rsidRPr="007404E6" w:rsidRDefault="00931EE1" w:rsidP="00F2662C">
            <w:pPr>
              <w:widowControl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7404E6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课程开发</w:t>
            </w:r>
          </w:p>
          <w:p w:rsidR="00931EE1" w:rsidRPr="007404E6" w:rsidRDefault="00931EE1" w:rsidP="00F2662C">
            <w:pPr>
              <w:widowControl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7404E6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及课题研究</w:t>
            </w:r>
          </w:p>
        </w:tc>
        <w:tc>
          <w:tcPr>
            <w:tcW w:w="7267" w:type="dxa"/>
            <w:vAlign w:val="center"/>
          </w:tcPr>
          <w:p w:rsidR="00931EE1" w:rsidRPr="007404E6" w:rsidRDefault="00334D93" w:rsidP="00691C15">
            <w:pPr>
              <w:pStyle w:val="p0"/>
              <w:jc w:val="left"/>
              <w:rPr>
                <w:rFonts w:ascii="华文仿宋" w:eastAsia="华文仿宋" w:hAnsi="华文仿宋"/>
              </w:rPr>
            </w:pPr>
            <w:r w:rsidRPr="007404E6">
              <w:rPr>
                <w:rFonts w:ascii="华文仿宋" w:eastAsia="华文仿宋" w:hAnsi="华文仿宋" w:hint="eastAsia"/>
              </w:rPr>
              <w:t>国泰安面向全国高等院校金融学、金融工程、投资学、大数据、会计、审计、财务管理专业及金融科技研究、金融大数据、新金融与区块链技术应用研究等相关专业、产业领域的教师和专家学者，开展校企合作，共同建设金融相关课程资源及进行课题研究。力争打造一批优质的，体现先进教育理念、科研水平的课程资源，为新金融、新业态下的高校教育人才培养方案、产学融合提供新的教学模式，合作探索金融类学科与大数据、区块链技术的融合及应用，为培养高素质、</w:t>
            </w:r>
            <w:proofErr w:type="gramStart"/>
            <w:r w:rsidRPr="007404E6">
              <w:rPr>
                <w:rFonts w:ascii="华文仿宋" w:eastAsia="华文仿宋" w:hAnsi="华文仿宋" w:hint="eastAsia"/>
              </w:rPr>
              <w:t>精专业</w:t>
            </w:r>
            <w:proofErr w:type="gramEnd"/>
            <w:r w:rsidRPr="007404E6">
              <w:rPr>
                <w:rFonts w:ascii="华文仿宋" w:eastAsia="华文仿宋" w:hAnsi="华文仿宋" w:hint="eastAsia"/>
              </w:rPr>
              <w:t>的金融人才奠定基础。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931EE1" w:rsidRPr="007404E6" w:rsidRDefault="00931EE1" w:rsidP="00E25856">
            <w:pPr>
              <w:pStyle w:val="p0"/>
              <w:jc w:val="center"/>
              <w:rPr>
                <w:rFonts w:ascii="华文仿宋" w:eastAsia="华文仿宋" w:hAnsi="华文仿宋"/>
              </w:rPr>
            </w:pPr>
            <w:r w:rsidRPr="007404E6">
              <w:rPr>
                <w:rFonts w:ascii="华文仿宋" w:eastAsia="华文仿宋" w:hAnsi="华文仿宋" w:hint="eastAsia"/>
              </w:rPr>
              <w:t>10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931EE1" w:rsidRPr="007404E6" w:rsidRDefault="00931EE1" w:rsidP="00E25856">
            <w:pPr>
              <w:widowControl/>
              <w:snapToGrid w:val="0"/>
              <w:jc w:val="center"/>
              <w:rPr>
                <w:rFonts w:ascii="华文仿宋" w:eastAsia="华文仿宋" w:hAnsi="华文仿宋" w:cs="Times New Roman"/>
                <w:kern w:val="0"/>
                <w:szCs w:val="21"/>
              </w:rPr>
            </w:pPr>
            <w:r w:rsidRPr="007404E6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30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31EE1" w:rsidRPr="007404E6" w:rsidRDefault="00931EE1" w:rsidP="00E25856">
            <w:pPr>
              <w:widowControl/>
              <w:snapToGrid w:val="0"/>
              <w:jc w:val="center"/>
              <w:rPr>
                <w:rFonts w:ascii="华文仿宋" w:eastAsia="华文仿宋" w:hAnsi="华文仿宋" w:cs="Times New Roman"/>
                <w:kern w:val="0"/>
                <w:szCs w:val="21"/>
              </w:rPr>
            </w:pPr>
            <w:r w:rsidRPr="007404E6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300</w:t>
            </w:r>
          </w:p>
        </w:tc>
        <w:tc>
          <w:tcPr>
            <w:tcW w:w="1493" w:type="dxa"/>
            <w:vMerge w:val="restart"/>
            <w:vAlign w:val="center"/>
          </w:tcPr>
          <w:p w:rsidR="00931EE1" w:rsidRDefault="002146C5" w:rsidP="00E25856">
            <w:pPr>
              <w:pStyle w:val="p0"/>
              <w:jc w:val="center"/>
              <w:rPr>
                <w:rFonts w:ascii="华文仿宋" w:eastAsia="华文仿宋" w:hAnsi="华文仿宋"/>
              </w:rPr>
            </w:pPr>
            <w:hyperlink r:id="rId9" w:history="1">
              <w:r w:rsidR="008B2121" w:rsidRPr="00510E85">
                <w:rPr>
                  <w:rStyle w:val="a7"/>
                  <w:rFonts w:ascii="华文仿宋" w:eastAsia="华文仿宋" w:hAnsi="华文仿宋"/>
                </w:rPr>
                <w:t>http://www.gtafe.com/</w:t>
              </w:r>
            </w:hyperlink>
          </w:p>
          <w:p w:rsidR="008B2121" w:rsidRPr="00D50C8B" w:rsidRDefault="008B2121" w:rsidP="00E25856">
            <w:pPr>
              <w:pStyle w:val="p0"/>
              <w:jc w:val="center"/>
              <w:rPr>
                <w:rFonts w:ascii="华文仿宋" w:eastAsia="华文仿宋" w:hAnsi="华文仿宋"/>
              </w:rPr>
            </w:pPr>
          </w:p>
        </w:tc>
      </w:tr>
      <w:tr w:rsidR="00691C15" w:rsidRPr="00D50C8B" w:rsidTr="007404E6">
        <w:trPr>
          <w:trHeight w:val="1980"/>
          <w:jc w:val="center"/>
        </w:trPr>
        <w:tc>
          <w:tcPr>
            <w:tcW w:w="1098" w:type="dxa"/>
            <w:vMerge/>
            <w:vAlign w:val="center"/>
          </w:tcPr>
          <w:p w:rsidR="00691C15" w:rsidRPr="00D50C8B" w:rsidRDefault="00691C15" w:rsidP="00E25856">
            <w:pPr>
              <w:pStyle w:val="p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34" w:type="dxa"/>
            <w:vMerge/>
            <w:vAlign w:val="center"/>
          </w:tcPr>
          <w:p w:rsidR="00691C15" w:rsidRPr="00D50C8B" w:rsidRDefault="00691C15" w:rsidP="00E25856">
            <w:pPr>
              <w:widowControl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1C15" w:rsidRPr="00D50C8B" w:rsidRDefault="00691C15" w:rsidP="007404E6">
            <w:pPr>
              <w:widowControl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FE4DA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学前教育</w:t>
            </w:r>
            <w:r w:rsidR="007404E6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方向</w:t>
            </w:r>
            <w:r w:rsidRPr="00FE4DAF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课程开发及课题研究</w:t>
            </w:r>
          </w:p>
        </w:tc>
        <w:tc>
          <w:tcPr>
            <w:tcW w:w="7267" w:type="dxa"/>
            <w:shd w:val="clear" w:color="auto" w:fill="auto"/>
            <w:vAlign w:val="center"/>
          </w:tcPr>
          <w:p w:rsidR="00691C15" w:rsidRPr="00D50C8B" w:rsidRDefault="00691C15" w:rsidP="00F2662C">
            <w:pPr>
              <w:pStyle w:val="p0"/>
              <w:jc w:val="left"/>
              <w:rPr>
                <w:rFonts w:ascii="华文仿宋" w:eastAsia="华文仿宋" w:hAnsi="华文仿宋"/>
              </w:rPr>
            </w:pPr>
            <w:r w:rsidRPr="00A15D93">
              <w:rPr>
                <w:rFonts w:ascii="华文仿宋" w:eastAsia="华文仿宋" w:hAnsi="华文仿宋" w:hint="eastAsia"/>
              </w:rPr>
              <w:t>国泰安面向全国高等院校学前教育、小学教育、特殊教育、心理学等教育相关专业领域及学前教育研究的相关专业，进行交流合作，共同建设学前教育相关专业课程资源和特色课程资源，并进行学前教育相关课题研究。通过校企合作共建，促进教学教研，联合开发一系列以多维可视化展现形式，</w:t>
            </w:r>
            <w:r>
              <w:rPr>
                <w:rFonts w:ascii="华文仿宋" w:eastAsia="华文仿宋" w:hAnsi="华文仿宋" w:hint="eastAsia"/>
              </w:rPr>
              <w:t>结合</w:t>
            </w:r>
            <w:r w:rsidRPr="00A15D93">
              <w:rPr>
                <w:rFonts w:ascii="华文仿宋" w:eastAsia="华文仿宋" w:hAnsi="华文仿宋" w:hint="eastAsia"/>
              </w:rPr>
              <w:t>虚拟现实、增强现实、大数据、人工智能等技术的</w:t>
            </w:r>
            <w:r>
              <w:rPr>
                <w:rFonts w:ascii="华文仿宋" w:eastAsia="华文仿宋" w:hAnsi="华文仿宋" w:hint="eastAsia"/>
              </w:rPr>
              <w:t>专业课程、特色课程体系及课题研究</w:t>
            </w:r>
            <w:r w:rsidRPr="00A15D93">
              <w:rPr>
                <w:rFonts w:ascii="华文仿宋" w:eastAsia="华文仿宋" w:hAnsi="华文仿宋" w:hint="eastAsia"/>
              </w:rPr>
              <w:t>。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691C15" w:rsidRPr="007404E6" w:rsidRDefault="00691C15" w:rsidP="00E25856">
            <w:pPr>
              <w:pStyle w:val="p0"/>
              <w:jc w:val="center"/>
              <w:rPr>
                <w:rFonts w:ascii="华文仿宋" w:eastAsia="华文仿宋" w:hAnsi="华文仿宋"/>
              </w:rPr>
            </w:pPr>
            <w:r w:rsidRPr="007404E6">
              <w:rPr>
                <w:rFonts w:ascii="华文仿宋" w:eastAsia="华文仿宋" w:hAnsi="华文仿宋" w:hint="eastAsia"/>
              </w:rPr>
              <w:t>10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91C15" w:rsidRPr="007404E6" w:rsidRDefault="00691C15" w:rsidP="00336942">
            <w:pPr>
              <w:pStyle w:val="p0"/>
              <w:jc w:val="center"/>
              <w:rPr>
                <w:rFonts w:ascii="华文仿宋" w:eastAsia="华文仿宋" w:hAnsi="华文仿宋"/>
              </w:rPr>
            </w:pPr>
            <w:r w:rsidRPr="007404E6">
              <w:rPr>
                <w:rFonts w:ascii="华文仿宋" w:eastAsia="华文仿宋" w:hAnsi="华文仿宋" w:hint="eastAsia"/>
              </w:rPr>
              <w:t>30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691C15" w:rsidRPr="007404E6" w:rsidRDefault="00691C15" w:rsidP="00E25856">
            <w:pPr>
              <w:widowControl/>
              <w:snapToGrid w:val="0"/>
              <w:jc w:val="center"/>
              <w:rPr>
                <w:rFonts w:ascii="华文仿宋" w:eastAsia="华文仿宋" w:hAnsi="华文仿宋" w:cs="Times New Roman"/>
                <w:kern w:val="0"/>
                <w:szCs w:val="21"/>
              </w:rPr>
            </w:pPr>
            <w:r w:rsidRPr="007404E6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300</w:t>
            </w:r>
          </w:p>
        </w:tc>
        <w:tc>
          <w:tcPr>
            <w:tcW w:w="1493" w:type="dxa"/>
            <w:vMerge/>
            <w:vAlign w:val="center"/>
          </w:tcPr>
          <w:p w:rsidR="00691C15" w:rsidRPr="00D50C8B" w:rsidRDefault="00691C15" w:rsidP="00E25856">
            <w:pPr>
              <w:pStyle w:val="p0"/>
              <w:jc w:val="center"/>
              <w:rPr>
                <w:rFonts w:ascii="华文仿宋" w:eastAsia="华文仿宋" w:hAnsi="华文仿宋"/>
              </w:rPr>
            </w:pPr>
          </w:p>
        </w:tc>
      </w:tr>
      <w:tr w:rsidR="00931EE1" w:rsidRPr="00D50C8B" w:rsidTr="00637D00">
        <w:trPr>
          <w:trHeight w:val="3027"/>
          <w:jc w:val="center"/>
        </w:trPr>
        <w:tc>
          <w:tcPr>
            <w:tcW w:w="1098" w:type="dxa"/>
            <w:vMerge/>
            <w:vAlign w:val="center"/>
          </w:tcPr>
          <w:p w:rsidR="00931EE1" w:rsidRPr="00D50C8B" w:rsidRDefault="00931EE1" w:rsidP="00E25856">
            <w:pPr>
              <w:pStyle w:val="p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34" w:type="dxa"/>
            <w:vMerge/>
            <w:vAlign w:val="center"/>
          </w:tcPr>
          <w:p w:rsidR="00931EE1" w:rsidRPr="00D50C8B" w:rsidRDefault="00931EE1" w:rsidP="00E25856">
            <w:pPr>
              <w:widowControl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1EE1" w:rsidRPr="00D50C8B" w:rsidRDefault="003A1B5E" w:rsidP="00E25856">
            <w:pPr>
              <w:widowControl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“</w:t>
            </w:r>
            <w:r w:rsidR="00931EE1" w:rsidRPr="00D50C8B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VR</w:t>
            </w:r>
            <w:r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+专业”课程资源开发及课题研究</w:t>
            </w:r>
          </w:p>
          <w:p w:rsidR="00931EE1" w:rsidRPr="00D50C8B" w:rsidRDefault="00931EE1" w:rsidP="00E25856">
            <w:pPr>
              <w:widowControl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7267" w:type="dxa"/>
            <w:vAlign w:val="center"/>
          </w:tcPr>
          <w:p w:rsidR="00931EE1" w:rsidRPr="00D50C8B" w:rsidRDefault="00931EE1" w:rsidP="003A1B5E">
            <w:pPr>
              <w:pStyle w:val="p0"/>
              <w:jc w:val="left"/>
              <w:rPr>
                <w:rFonts w:ascii="华文仿宋" w:eastAsia="华文仿宋" w:hAnsi="华文仿宋"/>
              </w:rPr>
            </w:pPr>
            <w:r w:rsidRPr="00D50C8B">
              <w:rPr>
                <w:rFonts w:ascii="华文仿宋" w:eastAsia="华文仿宋" w:hAnsi="华文仿宋" w:hint="eastAsia"/>
              </w:rPr>
              <w:t>国泰安面向全国高等院校计算机、信息工程、动画制作、数字传媒等VR相关专业及智慧交通、智能制造、医药护理、农林牧渔、经贸管理、旅游等可应用VR技术开展教学的专业领域，开展“VR专业（方向）人才培养模式研究”和“</w:t>
            </w:r>
            <w:r w:rsidR="003A1B5E" w:rsidRPr="00D50C8B">
              <w:rPr>
                <w:rFonts w:ascii="华文仿宋" w:eastAsia="华文仿宋" w:hAnsi="华文仿宋" w:hint="eastAsia"/>
              </w:rPr>
              <w:t>VR</w:t>
            </w:r>
            <w:r w:rsidRPr="00D50C8B">
              <w:rPr>
                <w:rFonts w:ascii="华文仿宋" w:eastAsia="华文仿宋" w:hAnsi="华文仿宋" w:hint="eastAsia"/>
              </w:rPr>
              <w:t>+</w:t>
            </w:r>
            <w:r w:rsidR="003A1B5E" w:rsidRPr="00D50C8B">
              <w:rPr>
                <w:rFonts w:ascii="华文仿宋" w:eastAsia="华文仿宋" w:hAnsi="华文仿宋" w:hint="eastAsia"/>
              </w:rPr>
              <w:t>专业</w:t>
            </w:r>
            <w:r w:rsidRPr="00D50C8B">
              <w:rPr>
                <w:rFonts w:ascii="华文仿宋" w:eastAsia="华文仿宋" w:hAnsi="华文仿宋" w:hint="eastAsia"/>
              </w:rPr>
              <w:t>课程开发”。一方面针对VR专业（方向）人才培养定位、人才培养方案、课程体系等进行深入研究和体系化设计，为VR专业（方向）开设和教育教学全面开展提供指导。另一方面开发一系列优质、可共享、具有示范价值的课程及课程资源（VR PPT、微课、动画等），打造高科技颠覆式的VR智慧课堂。</w:t>
            </w:r>
          </w:p>
        </w:tc>
        <w:tc>
          <w:tcPr>
            <w:tcW w:w="788" w:type="dxa"/>
            <w:vAlign w:val="center"/>
          </w:tcPr>
          <w:p w:rsidR="00691C15" w:rsidRPr="007404E6" w:rsidRDefault="00BE2B43" w:rsidP="00E25856">
            <w:pPr>
              <w:pStyle w:val="p0"/>
              <w:jc w:val="center"/>
              <w:rPr>
                <w:rFonts w:ascii="华文仿宋" w:eastAsia="华文仿宋" w:hAnsi="华文仿宋"/>
              </w:rPr>
            </w:pPr>
            <w:r w:rsidRPr="007404E6">
              <w:rPr>
                <w:rFonts w:ascii="华文仿宋" w:eastAsia="华文仿宋" w:hAnsi="华文仿宋" w:hint="eastAsia"/>
              </w:rPr>
              <w:t>9</w:t>
            </w:r>
          </w:p>
        </w:tc>
        <w:tc>
          <w:tcPr>
            <w:tcW w:w="1110" w:type="dxa"/>
            <w:vAlign w:val="center"/>
          </w:tcPr>
          <w:p w:rsidR="00931EE1" w:rsidRPr="007404E6" w:rsidRDefault="00E00387" w:rsidP="00336942">
            <w:pPr>
              <w:pStyle w:val="p0"/>
              <w:jc w:val="center"/>
              <w:rPr>
                <w:rFonts w:ascii="华文仿宋" w:eastAsia="华文仿宋" w:hAnsi="华文仿宋"/>
              </w:rPr>
            </w:pPr>
            <w:r w:rsidRPr="007404E6">
              <w:rPr>
                <w:rFonts w:ascii="华文仿宋" w:eastAsia="华文仿宋" w:hAnsi="华文仿宋" w:hint="eastAsia"/>
              </w:rPr>
              <w:t>27</w:t>
            </w:r>
          </w:p>
        </w:tc>
        <w:tc>
          <w:tcPr>
            <w:tcW w:w="1466" w:type="dxa"/>
            <w:vAlign w:val="center"/>
          </w:tcPr>
          <w:p w:rsidR="00931EE1" w:rsidRPr="007404E6" w:rsidRDefault="002E3B17" w:rsidP="00E25856">
            <w:pPr>
              <w:widowControl/>
              <w:snapToGrid w:val="0"/>
              <w:jc w:val="center"/>
              <w:rPr>
                <w:rFonts w:ascii="华文仿宋" w:eastAsia="华文仿宋" w:hAnsi="华文仿宋" w:cs="Times New Roman"/>
                <w:kern w:val="0"/>
                <w:szCs w:val="21"/>
              </w:rPr>
            </w:pPr>
            <w:r w:rsidRPr="007404E6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0</w:t>
            </w:r>
          </w:p>
        </w:tc>
        <w:tc>
          <w:tcPr>
            <w:tcW w:w="1493" w:type="dxa"/>
            <w:vMerge/>
            <w:vAlign w:val="center"/>
          </w:tcPr>
          <w:p w:rsidR="00931EE1" w:rsidRPr="00D50C8B" w:rsidRDefault="00931EE1" w:rsidP="00E25856">
            <w:pPr>
              <w:pStyle w:val="p0"/>
              <w:jc w:val="center"/>
              <w:rPr>
                <w:rFonts w:ascii="华文仿宋" w:eastAsia="华文仿宋" w:hAnsi="华文仿宋"/>
              </w:rPr>
            </w:pPr>
          </w:p>
        </w:tc>
      </w:tr>
      <w:tr w:rsidR="00E00387" w:rsidRPr="00D50C8B" w:rsidTr="00637D00">
        <w:trPr>
          <w:trHeight w:val="3027"/>
          <w:jc w:val="center"/>
        </w:trPr>
        <w:tc>
          <w:tcPr>
            <w:tcW w:w="1098" w:type="dxa"/>
            <w:vMerge/>
            <w:vAlign w:val="center"/>
          </w:tcPr>
          <w:p w:rsidR="00E00387" w:rsidRPr="00D50C8B" w:rsidRDefault="00E00387" w:rsidP="00E25856">
            <w:pPr>
              <w:pStyle w:val="p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34" w:type="dxa"/>
            <w:vAlign w:val="center"/>
          </w:tcPr>
          <w:p w:rsidR="00E00387" w:rsidRPr="00D50C8B" w:rsidRDefault="00E00387" w:rsidP="00E25856">
            <w:pPr>
              <w:widowControl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0387" w:rsidRDefault="00E00387" w:rsidP="00E00387">
            <w:pPr>
              <w:widowControl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D50C8B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创新金融</w:t>
            </w:r>
          </w:p>
          <w:p w:rsidR="00E00387" w:rsidRPr="00D50C8B" w:rsidRDefault="00E00387" w:rsidP="00E00387">
            <w:pPr>
              <w:widowControl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D50C8B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实验室建设</w:t>
            </w:r>
          </w:p>
        </w:tc>
        <w:tc>
          <w:tcPr>
            <w:tcW w:w="7267" w:type="dxa"/>
            <w:vAlign w:val="center"/>
          </w:tcPr>
          <w:p w:rsidR="00E00387" w:rsidRPr="00691C15" w:rsidRDefault="00E00387" w:rsidP="00E00387">
            <w:pPr>
              <w:widowControl/>
              <w:snapToGrid w:val="0"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691C15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 xml:space="preserve">国泰安面向开设金融、金融管理、金融工程、会计、财务管理、农村金融、国际金融、普惠金融方向等相关专业的全国高等院校，通过合作建立实验室，帮助高校引入国外先进教学理念、课程体系和教学模式，进一步加强实践教学环节，提升实践教学水平。                            </w:t>
            </w:r>
          </w:p>
          <w:p w:rsidR="00E00387" w:rsidRPr="00D50C8B" w:rsidRDefault="00E00387" w:rsidP="00E00387">
            <w:pPr>
              <w:pStyle w:val="p0"/>
              <w:jc w:val="left"/>
              <w:rPr>
                <w:rFonts w:ascii="华文仿宋" w:eastAsia="华文仿宋" w:hAnsi="华文仿宋"/>
              </w:rPr>
            </w:pPr>
            <w:r w:rsidRPr="00691C15">
              <w:rPr>
                <w:rFonts w:ascii="华文仿宋" w:eastAsia="华文仿宋" w:hAnsi="华文仿宋" w:cs="宋体" w:hint="eastAsia"/>
                <w:sz w:val="20"/>
                <w:szCs w:val="20"/>
              </w:rPr>
              <w:t>国泰安公司将帮助全国25所高校建设金融、财会专业实验室,基于学校金融、财会相关专业实验室的实际需要提供软、硬件设备或平台，在院校建设金融、财会联合实验室、实践基地等，开发有关的实验教学资源、研发创新技术，提高实践教学水平和技术创新能力，并提升高校技术类课程教学效果，促进高校学科建设。</w:t>
            </w:r>
          </w:p>
        </w:tc>
        <w:tc>
          <w:tcPr>
            <w:tcW w:w="788" w:type="dxa"/>
            <w:vAlign w:val="center"/>
          </w:tcPr>
          <w:p w:rsidR="00E00387" w:rsidRPr="007404E6" w:rsidRDefault="00E00387" w:rsidP="00E25856">
            <w:pPr>
              <w:pStyle w:val="p0"/>
              <w:jc w:val="center"/>
              <w:rPr>
                <w:rFonts w:ascii="华文仿宋" w:eastAsia="华文仿宋" w:hAnsi="华文仿宋"/>
              </w:rPr>
            </w:pPr>
            <w:r w:rsidRPr="007404E6">
              <w:rPr>
                <w:rFonts w:ascii="华文仿宋" w:eastAsia="华文仿宋" w:hAnsi="华文仿宋" w:hint="eastAsia"/>
              </w:rPr>
              <w:t>25</w:t>
            </w:r>
          </w:p>
        </w:tc>
        <w:tc>
          <w:tcPr>
            <w:tcW w:w="1110" w:type="dxa"/>
            <w:vAlign w:val="center"/>
          </w:tcPr>
          <w:p w:rsidR="00E00387" w:rsidRPr="007404E6" w:rsidRDefault="00E00387" w:rsidP="00336942">
            <w:pPr>
              <w:pStyle w:val="p0"/>
              <w:jc w:val="center"/>
              <w:rPr>
                <w:rFonts w:ascii="华文仿宋" w:eastAsia="华文仿宋" w:hAnsi="华文仿宋"/>
              </w:rPr>
            </w:pPr>
            <w:r w:rsidRPr="007404E6">
              <w:rPr>
                <w:rFonts w:ascii="华文仿宋" w:eastAsia="华文仿宋" w:hAnsi="华文仿宋" w:hint="eastAsia"/>
              </w:rPr>
              <w:t>0</w:t>
            </w:r>
          </w:p>
        </w:tc>
        <w:tc>
          <w:tcPr>
            <w:tcW w:w="1466" w:type="dxa"/>
            <w:vAlign w:val="center"/>
          </w:tcPr>
          <w:p w:rsidR="00E00387" w:rsidRPr="007404E6" w:rsidRDefault="00E00387" w:rsidP="00E25856">
            <w:pPr>
              <w:widowControl/>
              <w:snapToGrid w:val="0"/>
              <w:jc w:val="center"/>
              <w:rPr>
                <w:rFonts w:ascii="华文仿宋" w:eastAsia="华文仿宋" w:hAnsi="华文仿宋" w:cs="Times New Roman"/>
                <w:kern w:val="0"/>
                <w:szCs w:val="21"/>
              </w:rPr>
            </w:pPr>
            <w:r w:rsidRPr="007404E6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2500</w:t>
            </w:r>
          </w:p>
        </w:tc>
        <w:tc>
          <w:tcPr>
            <w:tcW w:w="1493" w:type="dxa"/>
            <w:vMerge/>
            <w:vAlign w:val="center"/>
          </w:tcPr>
          <w:p w:rsidR="00E00387" w:rsidRPr="00D50C8B" w:rsidRDefault="00E00387" w:rsidP="00E25856">
            <w:pPr>
              <w:pStyle w:val="p0"/>
              <w:jc w:val="center"/>
              <w:rPr>
                <w:rFonts w:ascii="华文仿宋" w:eastAsia="华文仿宋" w:hAnsi="华文仿宋"/>
              </w:rPr>
            </w:pPr>
          </w:p>
        </w:tc>
      </w:tr>
      <w:tr w:rsidR="00E00387" w:rsidRPr="00D50C8B" w:rsidTr="00637D00">
        <w:trPr>
          <w:trHeight w:val="2718"/>
          <w:jc w:val="center"/>
        </w:trPr>
        <w:tc>
          <w:tcPr>
            <w:tcW w:w="1098" w:type="dxa"/>
            <w:vMerge/>
            <w:vAlign w:val="center"/>
          </w:tcPr>
          <w:p w:rsidR="00E00387" w:rsidRPr="00D50C8B" w:rsidRDefault="00E00387" w:rsidP="00E25856">
            <w:pPr>
              <w:pStyle w:val="p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34" w:type="dxa"/>
            <w:vAlign w:val="center"/>
          </w:tcPr>
          <w:p w:rsidR="00E00387" w:rsidRPr="00D50C8B" w:rsidRDefault="007404E6" w:rsidP="00E25856">
            <w:pPr>
              <w:widowControl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D50C8B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实践条件和实践基地建设</w:t>
            </w:r>
          </w:p>
        </w:tc>
        <w:tc>
          <w:tcPr>
            <w:tcW w:w="1276" w:type="dxa"/>
            <w:vAlign w:val="center"/>
          </w:tcPr>
          <w:p w:rsidR="00E00387" w:rsidRPr="00D50C8B" w:rsidRDefault="00BE2B43" w:rsidP="00E00387">
            <w:pPr>
              <w:widowControl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“</w:t>
            </w:r>
            <w:r w:rsidR="00E00387" w:rsidRPr="00D50C8B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VR</w:t>
            </w:r>
            <w:r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+专业</w:t>
            </w:r>
            <w:r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  <w:t>”</w:t>
            </w:r>
            <w:r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创新实训室/</w:t>
            </w:r>
            <w:r w:rsidR="00E00387" w:rsidRPr="00D50C8B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协同创新中心建设</w:t>
            </w:r>
          </w:p>
        </w:tc>
        <w:tc>
          <w:tcPr>
            <w:tcW w:w="7267" w:type="dxa"/>
            <w:vAlign w:val="center"/>
          </w:tcPr>
          <w:p w:rsidR="00E00387" w:rsidRPr="007404E6" w:rsidRDefault="00E00387" w:rsidP="00BE2B43">
            <w:pPr>
              <w:widowControl/>
              <w:snapToGrid w:val="0"/>
              <w:jc w:val="left"/>
              <w:rPr>
                <w:rFonts w:ascii="华文仿宋" w:eastAsia="华文仿宋" w:hAnsi="华文仿宋" w:cs="宋体"/>
                <w:kern w:val="0"/>
                <w:sz w:val="20"/>
                <w:szCs w:val="20"/>
              </w:rPr>
            </w:pPr>
            <w:r w:rsidRPr="007404E6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国泰安面向全国高等院校计算机、信息工程、动画制作、数字传媒等VR相关专业及智慧交通、智能制造、医药护理、农林牧渔、经贸管理、旅游</w:t>
            </w:r>
            <w:r w:rsidR="00BE2B43" w:rsidRPr="007404E6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、学前教育</w:t>
            </w:r>
            <w:r w:rsidRPr="007404E6">
              <w:rPr>
                <w:rFonts w:ascii="华文仿宋" w:eastAsia="华文仿宋" w:hAnsi="华文仿宋" w:cs="宋体" w:hint="eastAsia"/>
                <w:kern w:val="0"/>
                <w:sz w:val="20"/>
                <w:szCs w:val="20"/>
              </w:rPr>
              <w:t>等可应用VR技术开展教学的专业领域，与学校共建VR协同创新中心，提供软、硬件设备或平台支持，打造展示体验区、教学实训区、开发培训区等功能分区，为VR体验、VR教学实训、VR培训等提供开放式空间和平台，设计示范性虚拟仿真实验教学项目，帮助高校引入先进的教学理念和教学模式，进一步加强实践教学环节、提升实践教学水平、提高教学资源开发能力，推动学校学科建设和创新发展。</w:t>
            </w:r>
          </w:p>
        </w:tc>
        <w:tc>
          <w:tcPr>
            <w:tcW w:w="788" w:type="dxa"/>
            <w:vAlign w:val="center"/>
          </w:tcPr>
          <w:p w:rsidR="00E00387" w:rsidRPr="007404E6" w:rsidRDefault="00E00387" w:rsidP="00BE2B43">
            <w:pPr>
              <w:pStyle w:val="p0"/>
              <w:jc w:val="center"/>
              <w:rPr>
                <w:rFonts w:ascii="华文仿宋" w:eastAsia="华文仿宋" w:hAnsi="华文仿宋"/>
              </w:rPr>
            </w:pPr>
            <w:r w:rsidRPr="007404E6">
              <w:rPr>
                <w:rFonts w:ascii="华文仿宋" w:eastAsia="华文仿宋" w:hAnsi="华文仿宋" w:hint="eastAsia"/>
              </w:rPr>
              <w:t>1</w:t>
            </w:r>
            <w:r w:rsidR="00BE2B43" w:rsidRPr="007404E6">
              <w:rPr>
                <w:rFonts w:ascii="华文仿宋" w:eastAsia="华文仿宋" w:hAnsi="华文仿宋" w:hint="eastAsia"/>
              </w:rPr>
              <w:t>5</w:t>
            </w:r>
          </w:p>
        </w:tc>
        <w:tc>
          <w:tcPr>
            <w:tcW w:w="1110" w:type="dxa"/>
            <w:vAlign w:val="center"/>
          </w:tcPr>
          <w:p w:rsidR="00E00387" w:rsidRPr="007404E6" w:rsidRDefault="00E00387" w:rsidP="00336942">
            <w:pPr>
              <w:pStyle w:val="p0"/>
              <w:jc w:val="center"/>
              <w:rPr>
                <w:rFonts w:ascii="华文仿宋" w:eastAsia="华文仿宋" w:hAnsi="华文仿宋"/>
              </w:rPr>
            </w:pPr>
            <w:r w:rsidRPr="007404E6">
              <w:rPr>
                <w:rFonts w:ascii="华文仿宋" w:eastAsia="华文仿宋" w:hAnsi="华文仿宋" w:hint="eastAsia"/>
              </w:rPr>
              <w:t>0</w:t>
            </w:r>
          </w:p>
        </w:tc>
        <w:tc>
          <w:tcPr>
            <w:tcW w:w="1466" w:type="dxa"/>
            <w:vAlign w:val="center"/>
          </w:tcPr>
          <w:p w:rsidR="00E00387" w:rsidRPr="007404E6" w:rsidRDefault="00E00387" w:rsidP="00E25856">
            <w:pPr>
              <w:widowControl/>
              <w:snapToGrid w:val="0"/>
              <w:jc w:val="center"/>
              <w:rPr>
                <w:rFonts w:ascii="华文仿宋" w:eastAsia="华文仿宋" w:hAnsi="华文仿宋" w:cs="Times New Roman"/>
                <w:kern w:val="0"/>
                <w:szCs w:val="21"/>
              </w:rPr>
            </w:pPr>
            <w:r w:rsidRPr="007404E6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1</w:t>
            </w:r>
            <w:r w:rsidR="00F439E2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5</w:t>
            </w:r>
            <w:r w:rsidRPr="007404E6">
              <w:rPr>
                <w:rFonts w:ascii="华文仿宋" w:eastAsia="华文仿宋" w:hAnsi="华文仿宋" w:cs="Times New Roman" w:hint="eastAsia"/>
                <w:kern w:val="0"/>
                <w:szCs w:val="21"/>
              </w:rPr>
              <w:t>00</w:t>
            </w:r>
          </w:p>
        </w:tc>
        <w:tc>
          <w:tcPr>
            <w:tcW w:w="1493" w:type="dxa"/>
            <w:vMerge/>
            <w:vAlign w:val="center"/>
          </w:tcPr>
          <w:p w:rsidR="00E00387" w:rsidRPr="00D50C8B" w:rsidRDefault="00E00387" w:rsidP="00E25856">
            <w:pPr>
              <w:pStyle w:val="p0"/>
              <w:jc w:val="center"/>
              <w:rPr>
                <w:rFonts w:ascii="华文仿宋" w:eastAsia="华文仿宋" w:hAnsi="华文仿宋"/>
              </w:rPr>
            </w:pPr>
          </w:p>
        </w:tc>
      </w:tr>
      <w:tr w:rsidR="000D50CE" w:rsidRPr="00D50C8B" w:rsidTr="00637D00">
        <w:trPr>
          <w:trHeight w:val="148"/>
          <w:jc w:val="center"/>
        </w:trPr>
        <w:tc>
          <w:tcPr>
            <w:tcW w:w="1098" w:type="dxa"/>
            <w:vMerge/>
            <w:vAlign w:val="center"/>
          </w:tcPr>
          <w:p w:rsidR="000D50CE" w:rsidRPr="00D50C8B" w:rsidRDefault="000D50CE" w:rsidP="00E25856">
            <w:pPr>
              <w:pStyle w:val="p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9677" w:type="dxa"/>
            <w:gridSpan w:val="3"/>
            <w:vAlign w:val="center"/>
          </w:tcPr>
          <w:p w:rsidR="000D50CE" w:rsidRPr="00D50C8B" w:rsidRDefault="000D50CE" w:rsidP="00CB16C0">
            <w:pPr>
              <w:pStyle w:val="p0"/>
              <w:jc w:val="center"/>
              <w:rPr>
                <w:rFonts w:ascii="华文仿宋" w:eastAsia="华文仿宋" w:hAnsi="华文仿宋"/>
                <w:b/>
              </w:rPr>
            </w:pPr>
            <w:r w:rsidRPr="00D50C8B">
              <w:rPr>
                <w:rFonts w:ascii="华文仿宋" w:eastAsia="华文仿宋" w:hAnsi="华文仿宋" w:hint="eastAsia"/>
                <w:b/>
              </w:rPr>
              <w:t>合计</w:t>
            </w:r>
          </w:p>
        </w:tc>
        <w:tc>
          <w:tcPr>
            <w:tcW w:w="788" w:type="dxa"/>
          </w:tcPr>
          <w:p w:rsidR="000D50CE" w:rsidRPr="000D50CE" w:rsidRDefault="003A1B5E" w:rsidP="000D50CE">
            <w:pPr>
              <w:pStyle w:val="p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69</w:t>
            </w:r>
          </w:p>
        </w:tc>
        <w:tc>
          <w:tcPr>
            <w:tcW w:w="1110" w:type="dxa"/>
          </w:tcPr>
          <w:p w:rsidR="000D50CE" w:rsidRPr="000D50CE" w:rsidRDefault="003A1B5E" w:rsidP="000D50CE">
            <w:pPr>
              <w:pStyle w:val="p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87</w:t>
            </w:r>
          </w:p>
        </w:tc>
        <w:tc>
          <w:tcPr>
            <w:tcW w:w="1466" w:type="dxa"/>
          </w:tcPr>
          <w:p w:rsidR="000D50CE" w:rsidRPr="000D50CE" w:rsidRDefault="003A1B5E" w:rsidP="000D50CE">
            <w:pPr>
              <w:pStyle w:val="p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4</w:t>
            </w:r>
            <w:r w:rsidR="00F439E2">
              <w:rPr>
                <w:rFonts w:ascii="华文仿宋" w:eastAsia="华文仿宋" w:hAnsi="华文仿宋" w:hint="eastAsia"/>
              </w:rPr>
              <w:t>6</w:t>
            </w:r>
            <w:r>
              <w:rPr>
                <w:rFonts w:ascii="华文仿宋" w:eastAsia="华文仿宋" w:hAnsi="华文仿宋" w:hint="eastAsia"/>
              </w:rPr>
              <w:t>00</w:t>
            </w:r>
          </w:p>
        </w:tc>
        <w:tc>
          <w:tcPr>
            <w:tcW w:w="1493" w:type="dxa"/>
            <w:vMerge/>
            <w:vAlign w:val="center"/>
          </w:tcPr>
          <w:p w:rsidR="000D50CE" w:rsidRPr="00D50C8B" w:rsidRDefault="000D50CE" w:rsidP="00E25856">
            <w:pPr>
              <w:pStyle w:val="p0"/>
              <w:jc w:val="center"/>
              <w:rPr>
                <w:rFonts w:ascii="华文仿宋" w:eastAsia="华文仿宋" w:hAnsi="华文仿宋"/>
                <w:b/>
              </w:rPr>
            </w:pPr>
          </w:p>
        </w:tc>
      </w:tr>
    </w:tbl>
    <w:p w:rsidR="00B039B9" w:rsidRDefault="00B039B9" w:rsidP="00B039B9">
      <w:pPr>
        <w:pStyle w:val="p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注：1.各类型项目专项资金总额不少于20万元/年。</w:t>
      </w:r>
    </w:p>
    <w:p w:rsidR="00B039B9" w:rsidRDefault="00B039B9" w:rsidP="00B039B9">
      <w:pPr>
        <w:pStyle w:val="p0"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tab/>
        <w:t>2.</w:t>
      </w:r>
      <w:r>
        <w:rPr>
          <w:rFonts w:ascii="仿宋_GB2312" w:eastAsia="仿宋_GB2312" w:hint="eastAsia"/>
        </w:rPr>
        <w:t>新工科建设、教学内容和课程体系改革、创新创业教育改革项目支持资金不少于3万元/项。</w:t>
      </w:r>
    </w:p>
    <w:p w:rsidR="00B039B9" w:rsidRDefault="00B039B9" w:rsidP="00B039B9">
      <w:pPr>
        <w:pStyle w:val="p0"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tab/>
        <w:t>3.</w:t>
      </w:r>
      <w:r>
        <w:rPr>
          <w:rFonts w:ascii="仿宋_GB2312" w:eastAsia="仿宋_GB2312" w:hint="eastAsia"/>
        </w:rPr>
        <w:t>师资培训、创新创业联合基金支持资金不少于1万元/项。</w:t>
      </w:r>
    </w:p>
    <w:p w:rsidR="00E167EF" w:rsidRPr="00B039B9" w:rsidRDefault="00E167EF" w:rsidP="003E52A3"/>
    <w:sectPr w:rsidR="00E167EF" w:rsidRPr="00B039B9">
      <w:pgSz w:w="16838" w:h="11906" w:orient="landscape"/>
      <w:pgMar w:top="1797" w:right="1134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6C5" w:rsidRDefault="002146C5" w:rsidP="002523FC">
      <w:r>
        <w:separator/>
      </w:r>
    </w:p>
  </w:endnote>
  <w:endnote w:type="continuationSeparator" w:id="0">
    <w:p w:rsidR="002146C5" w:rsidRDefault="002146C5" w:rsidP="0025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6C5" w:rsidRDefault="002146C5" w:rsidP="002523FC">
      <w:r>
        <w:separator/>
      </w:r>
    </w:p>
  </w:footnote>
  <w:footnote w:type="continuationSeparator" w:id="0">
    <w:p w:rsidR="002146C5" w:rsidRDefault="002146C5" w:rsidP="00252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10"/>
    <w:rsid w:val="0001091F"/>
    <w:rsid w:val="000223DF"/>
    <w:rsid w:val="000228F4"/>
    <w:rsid w:val="000233F7"/>
    <w:rsid w:val="00024EE2"/>
    <w:rsid w:val="000273F3"/>
    <w:rsid w:val="00036243"/>
    <w:rsid w:val="0004262A"/>
    <w:rsid w:val="000758D6"/>
    <w:rsid w:val="00085ED0"/>
    <w:rsid w:val="000918F9"/>
    <w:rsid w:val="000A7B06"/>
    <w:rsid w:val="000B05B3"/>
    <w:rsid w:val="000B0D16"/>
    <w:rsid w:val="000B1587"/>
    <w:rsid w:val="000B24F1"/>
    <w:rsid w:val="000C5C3C"/>
    <w:rsid w:val="000D50CE"/>
    <w:rsid w:val="000E7172"/>
    <w:rsid w:val="000F019D"/>
    <w:rsid w:val="000F0E62"/>
    <w:rsid w:val="00106B95"/>
    <w:rsid w:val="00123361"/>
    <w:rsid w:val="00127B8D"/>
    <w:rsid w:val="00140263"/>
    <w:rsid w:val="00146551"/>
    <w:rsid w:val="00151793"/>
    <w:rsid w:val="0016197A"/>
    <w:rsid w:val="00174FAA"/>
    <w:rsid w:val="001752CF"/>
    <w:rsid w:val="001769C9"/>
    <w:rsid w:val="00194831"/>
    <w:rsid w:val="001B350C"/>
    <w:rsid w:val="001D6B12"/>
    <w:rsid w:val="001E0EA2"/>
    <w:rsid w:val="001E52B2"/>
    <w:rsid w:val="002146C5"/>
    <w:rsid w:val="00227A15"/>
    <w:rsid w:val="00232493"/>
    <w:rsid w:val="0023297E"/>
    <w:rsid w:val="002523FC"/>
    <w:rsid w:val="00287175"/>
    <w:rsid w:val="002942C7"/>
    <w:rsid w:val="002B5E54"/>
    <w:rsid w:val="002D0E77"/>
    <w:rsid w:val="002E3040"/>
    <w:rsid w:val="002E3B17"/>
    <w:rsid w:val="002E7136"/>
    <w:rsid w:val="00334D93"/>
    <w:rsid w:val="00336942"/>
    <w:rsid w:val="003374E5"/>
    <w:rsid w:val="00341017"/>
    <w:rsid w:val="00350696"/>
    <w:rsid w:val="00350D54"/>
    <w:rsid w:val="003A1B5E"/>
    <w:rsid w:val="003A721C"/>
    <w:rsid w:val="003D4157"/>
    <w:rsid w:val="003D5ED2"/>
    <w:rsid w:val="003E52A3"/>
    <w:rsid w:val="00400C54"/>
    <w:rsid w:val="004517C2"/>
    <w:rsid w:val="004917D1"/>
    <w:rsid w:val="004A2DB4"/>
    <w:rsid w:val="004C6419"/>
    <w:rsid w:val="004E5B70"/>
    <w:rsid w:val="004E795F"/>
    <w:rsid w:val="005305A2"/>
    <w:rsid w:val="00530A69"/>
    <w:rsid w:val="00541B72"/>
    <w:rsid w:val="0055225F"/>
    <w:rsid w:val="00592D75"/>
    <w:rsid w:val="005C08C6"/>
    <w:rsid w:val="005C43BD"/>
    <w:rsid w:val="00601B18"/>
    <w:rsid w:val="006105A7"/>
    <w:rsid w:val="00613A27"/>
    <w:rsid w:val="00623E2C"/>
    <w:rsid w:val="00637D00"/>
    <w:rsid w:val="00642585"/>
    <w:rsid w:val="006670D7"/>
    <w:rsid w:val="006673C0"/>
    <w:rsid w:val="00691C15"/>
    <w:rsid w:val="00693E25"/>
    <w:rsid w:val="006B1681"/>
    <w:rsid w:val="006C1496"/>
    <w:rsid w:val="006D061B"/>
    <w:rsid w:val="006D5A84"/>
    <w:rsid w:val="006E2449"/>
    <w:rsid w:val="006F62DC"/>
    <w:rsid w:val="007001C4"/>
    <w:rsid w:val="0070041B"/>
    <w:rsid w:val="00701261"/>
    <w:rsid w:val="00703F5D"/>
    <w:rsid w:val="007075E1"/>
    <w:rsid w:val="00721B06"/>
    <w:rsid w:val="007228FC"/>
    <w:rsid w:val="00735B39"/>
    <w:rsid w:val="007404E6"/>
    <w:rsid w:val="00746EE4"/>
    <w:rsid w:val="007531A9"/>
    <w:rsid w:val="00753A67"/>
    <w:rsid w:val="00790F7D"/>
    <w:rsid w:val="0079384E"/>
    <w:rsid w:val="007B6321"/>
    <w:rsid w:val="007C01E7"/>
    <w:rsid w:val="007C4498"/>
    <w:rsid w:val="007C51DE"/>
    <w:rsid w:val="0081434B"/>
    <w:rsid w:val="00814748"/>
    <w:rsid w:val="00816249"/>
    <w:rsid w:val="008240E8"/>
    <w:rsid w:val="008254E5"/>
    <w:rsid w:val="00825B94"/>
    <w:rsid w:val="0082783B"/>
    <w:rsid w:val="00832A47"/>
    <w:rsid w:val="008338D5"/>
    <w:rsid w:val="008433C8"/>
    <w:rsid w:val="00844471"/>
    <w:rsid w:val="00851191"/>
    <w:rsid w:val="008709AA"/>
    <w:rsid w:val="00874504"/>
    <w:rsid w:val="008A1E66"/>
    <w:rsid w:val="008A2521"/>
    <w:rsid w:val="008B2121"/>
    <w:rsid w:val="008C03A9"/>
    <w:rsid w:val="008F3DF6"/>
    <w:rsid w:val="008F4B3C"/>
    <w:rsid w:val="008F7736"/>
    <w:rsid w:val="009100A6"/>
    <w:rsid w:val="0092299C"/>
    <w:rsid w:val="00931EE1"/>
    <w:rsid w:val="00937B4A"/>
    <w:rsid w:val="00946E62"/>
    <w:rsid w:val="00965670"/>
    <w:rsid w:val="00970293"/>
    <w:rsid w:val="00976B04"/>
    <w:rsid w:val="009A5E7E"/>
    <w:rsid w:val="009A790C"/>
    <w:rsid w:val="009E11B9"/>
    <w:rsid w:val="009F363A"/>
    <w:rsid w:val="00A17474"/>
    <w:rsid w:val="00A242C3"/>
    <w:rsid w:val="00A26A16"/>
    <w:rsid w:val="00A4201A"/>
    <w:rsid w:val="00A47829"/>
    <w:rsid w:val="00A526F7"/>
    <w:rsid w:val="00A55C2D"/>
    <w:rsid w:val="00A57254"/>
    <w:rsid w:val="00A96407"/>
    <w:rsid w:val="00A97CDE"/>
    <w:rsid w:val="00AB06DE"/>
    <w:rsid w:val="00AB706C"/>
    <w:rsid w:val="00AB74B8"/>
    <w:rsid w:val="00AD2B1C"/>
    <w:rsid w:val="00AE022B"/>
    <w:rsid w:val="00AF145A"/>
    <w:rsid w:val="00AF1597"/>
    <w:rsid w:val="00B039B9"/>
    <w:rsid w:val="00B10F07"/>
    <w:rsid w:val="00B22AC5"/>
    <w:rsid w:val="00B4477B"/>
    <w:rsid w:val="00B448A5"/>
    <w:rsid w:val="00B56F89"/>
    <w:rsid w:val="00B63B3A"/>
    <w:rsid w:val="00B821F5"/>
    <w:rsid w:val="00BA0595"/>
    <w:rsid w:val="00BA6539"/>
    <w:rsid w:val="00BC25A7"/>
    <w:rsid w:val="00BE2B43"/>
    <w:rsid w:val="00BE4410"/>
    <w:rsid w:val="00BE529C"/>
    <w:rsid w:val="00BF0EB8"/>
    <w:rsid w:val="00C02405"/>
    <w:rsid w:val="00C4460D"/>
    <w:rsid w:val="00C63C68"/>
    <w:rsid w:val="00C81D34"/>
    <w:rsid w:val="00C911E6"/>
    <w:rsid w:val="00CB16C0"/>
    <w:rsid w:val="00CC78BE"/>
    <w:rsid w:val="00CD6324"/>
    <w:rsid w:val="00CD64BB"/>
    <w:rsid w:val="00CE4E78"/>
    <w:rsid w:val="00D000EE"/>
    <w:rsid w:val="00D13B22"/>
    <w:rsid w:val="00D17E14"/>
    <w:rsid w:val="00D35970"/>
    <w:rsid w:val="00D4182A"/>
    <w:rsid w:val="00D43313"/>
    <w:rsid w:val="00D44204"/>
    <w:rsid w:val="00D50C8B"/>
    <w:rsid w:val="00D63598"/>
    <w:rsid w:val="00D75EAC"/>
    <w:rsid w:val="00D86F90"/>
    <w:rsid w:val="00D9355D"/>
    <w:rsid w:val="00DB1D2F"/>
    <w:rsid w:val="00DB472B"/>
    <w:rsid w:val="00DC6F88"/>
    <w:rsid w:val="00DD0D4D"/>
    <w:rsid w:val="00DD4ADB"/>
    <w:rsid w:val="00DF47E1"/>
    <w:rsid w:val="00E00387"/>
    <w:rsid w:val="00E03E70"/>
    <w:rsid w:val="00E12EB7"/>
    <w:rsid w:val="00E167EF"/>
    <w:rsid w:val="00E26795"/>
    <w:rsid w:val="00E3349F"/>
    <w:rsid w:val="00E34F45"/>
    <w:rsid w:val="00E42904"/>
    <w:rsid w:val="00E511AA"/>
    <w:rsid w:val="00E64A7B"/>
    <w:rsid w:val="00E85312"/>
    <w:rsid w:val="00EA3C3A"/>
    <w:rsid w:val="00ED353B"/>
    <w:rsid w:val="00EE4243"/>
    <w:rsid w:val="00F07FCC"/>
    <w:rsid w:val="00F21660"/>
    <w:rsid w:val="00F2662C"/>
    <w:rsid w:val="00F3774D"/>
    <w:rsid w:val="00F439E2"/>
    <w:rsid w:val="00F43C15"/>
    <w:rsid w:val="00F55423"/>
    <w:rsid w:val="00F643D6"/>
    <w:rsid w:val="00F71E42"/>
    <w:rsid w:val="00F7433F"/>
    <w:rsid w:val="00F96295"/>
    <w:rsid w:val="00FB0648"/>
    <w:rsid w:val="00FD13E3"/>
    <w:rsid w:val="00FE59AE"/>
    <w:rsid w:val="19E53256"/>
    <w:rsid w:val="2865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9">
    <w:name w:val="正文 A"/>
    <w:rsid w:val="00BA0595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Arial Unicode MS" w:hAnsi="Calibri" w:cs="Arial Unicode MS"/>
      <w:color w:val="000000"/>
      <w:kern w:val="2"/>
      <w:sz w:val="21"/>
      <w:szCs w:val="21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9">
    <w:name w:val="正文 A"/>
    <w:rsid w:val="00BA0595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Arial Unicode MS" w:hAnsi="Calibri" w:cs="Arial Unicode MS"/>
      <w:color w:val="000000"/>
      <w:kern w:val="2"/>
      <w:sz w:val="21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tafe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1FDF67-CC89-46B7-87EA-855014B9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刘微娜</cp:lastModifiedBy>
  <cp:revision>11</cp:revision>
  <cp:lastPrinted>2016-05-23T01:17:00Z</cp:lastPrinted>
  <dcterms:created xsi:type="dcterms:W3CDTF">2018-03-12T05:09:00Z</dcterms:created>
  <dcterms:modified xsi:type="dcterms:W3CDTF">2018-11-19T03:06:00Z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